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B048" w14:textId="77777777" w:rsidR="00114B1B" w:rsidRDefault="00114B1B"/>
    <w:tbl>
      <w:tblPr>
        <w:tblStyle w:val="Grilledutableau"/>
        <w:tblW w:w="10220" w:type="dxa"/>
        <w:tblLayout w:type="fixed"/>
        <w:tblLook w:val="04A0" w:firstRow="1" w:lastRow="0" w:firstColumn="1" w:lastColumn="0" w:noHBand="0" w:noVBand="1"/>
      </w:tblPr>
      <w:tblGrid>
        <w:gridCol w:w="1808"/>
        <w:gridCol w:w="8412"/>
      </w:tblGrid>
      <w:tr w:rsidR="00114B1B" w14:paraId="343581E0" w14:textId="77777777" w:rsidTr="003A4444">
        <w:trPr>
          <w:trHeight w:val="453"/>
        </w:trPr>
        <w:tc>
          <w:tcPr>
            <w:tcW w:w="10220" w:type="dxa"/>
            <w:gridSpan w:val="2"/>
          </w:tcPr>
          <w:p w14:paraId="10EB76B4" w14:textId="77777777" w:rsidR="00114B1B" w:rsidRDefault="003A4444">
            <w:pPr>
              <w:spacing w:before="60" w:after="6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color w:val="00B0F0"/>
                <w:sz w:val="28"/>
                <w:szCs w:val="28"/>
                <w:u w:val="single"/>
              </w:rPr>
              <w:t>UE Optionnelle</w:t>
            </w:r>
            <w:proofErr w:type="gramStart"/>
            <w:r>
              <w:rPr>
                <w:rFonts w:eastAsia="Calibri"/>
                <w:b/>
                <w:color w:val="00B0F0"/>
                <w:sz w:val="28"/>
                <w:szCs w:val="28"/>
                <w:u w:val="single"/>
              </w:rPr>
              <w:t xml:space="preserve"> «Langue</w:t>
            </w:r>
            <w:proofErr w:type="gramEnd"/>
            <w:r>
              <w:rPr>
                <w:rFonts w:eastAsia="Calibri"/>
                <w:b/>
                <w:color w:val="00B0F0"/>
                <w:sz w:val="28"/>
                <w:szCs w:val="28"/>
                <w:u w:val="single"/>
              </w:rPr>
              <w:t xml:space="preserve"> Des Signes» </w:t>
            </w:r>
          </w:p>
        </w:tc>
      </w:tr>
      <w:tr w:rsidR="00114B1B" w14:paraId="00EAC99C" w14:textId="77777777" w:rsidTr="003A4444">
        <w:trPr>
          <w:trHeight w:val="379"/>
        </w:trPr>
        <w:tc>
          <w:tcPr>
            <w:tcW w:w="1808" w:type="dxa"/>
          </w:tcPr>
          <w:p w14:paraId="03C447D8" w14:textId="77777777" w:rsidR="00114B1B" w:rsidRDefault="003A4444">
            <w:pPr>
              <w:spacing w:before="60" w:after="60"/>
              <w:rPr>
                <w:b/>
                <w:color w:val="00B0F0"/>
              </w:rPr>
            </w:pPr>
            <w:r>
              <w:rPr>
                <w:rFonts w:eastAsia="Calibri"/>
                <w:b/>
                <w:color w:val="00B0F0"/>
              </w:rPr>
              <w:t>Responsable</w:t>
            </w:r>
          </w:p>
        </w:tc>
        <w:tc>
          <w:tcPr>
            <w:tcW w:w="8412" w:type="dxa"/>
          </w:tcPr>
          <w:p w14:paraId="1C04D84D" w14:textId="77777777" w:rsidR="00114B1B" w:rsidRDefault="003A4444">
            <w:pPr>
              <w:spacing w:before="60" w:after="60"/>
              <w:rPr>
                <w:b/>
              </w:rPr>
            </w:pPr>
            <w:r>
              <w:rPr>
                <w:rFonts w:eastAsia="Calibri"/>
                <w:b/>
              </w:rPr>
              <w:t>Christine MONDANGE</w:t>
            </w:r>
          </w:p>
        </w:tc>
      </w:tr>
      <w:tr w:rsidR="00114B1B" w14:paraId="5548F89C" w14:textId="77777777" w:rsidTr="003A4444">
        <w:trPr>
          <w:trHeight w:val="3321"/>
        </w:trPr>
        <w:tc>
          <w:tcPr>
            <w:tcW w:w="1808" w:type="dxa"/>
          </w:tcPr>
          <w:p w14:paraId="4A450BA9" w14:textId="77777777" w:rsidR="00114B1B" w:rsidRDefault="003A4444">
            <w:pPr>
              <w:spacing w:before="60" w:after="60"/>
              <w:rPr>
                <w:b/>
                <w:color w:val="00B0F0"/>
              </w:rPr>
            </w:pPr>
            <w:r>
              <w:rPr>
                <w:rFonts w:eastAsia="Calibri"/>
                <w:b/>
                <w:color w:val="00B0F0"/>
              </w:rPr>
              <w:t>Objectifs</w:t>
            </w:r>
          </w:p>
        </w:tc>
        <w:tc>
          <w:tcPr>
            <w:tcW w:w="8412" w:type="dxa"/>
          </w:tcPr>
          <w:p w14:paraId="55DD2FC1" w14:textId="77777777" w:rsidR="00114B1B" w:rsidRDefault="003A4444">
            <w:pPr>
              <w:pStyle w:val="Titre3"/>
            </w:pPr>
            <w:proofErr w:type="gramStart"/>
            <w:r>
              <w:t>🎯</w:t>
            </w:r>
            <w:proofErr w:type="gramEnd"/>
            <w:r>
              <w:t xml:space="preserve"> Objectifs pédagogiques</w:t>
            </w:r>
          </w:p>
          <w:p w14:paraId="217DF0DB" w14:textId="77777777" w:rsidR="00114B1B" w:rsidRDefault="003A4444">
            <w:pPr>
              <w:pStyle w:val="Corpsdetexte"/>
              <w:numPr>
                <w:ilvl w:val="0"/>
                <w:numId w:val="1"/>
              </w:numPr>
              <w:tabs>
                <w:tab w:val="clear" w:pos="709"/>
                <w:tab w:val="left" w:pos="0"/>
              </w:tabs>
            </w:pPr>
            <w:r>
              <w:t>Découvrir la Langue des Signes Française (LSF) à travers une approche progressive et interactive</w:t>
            </w:r>
          </w:p>
          <w:p w14:paraId="778DD10E" w14:textId="77777777" w:rsidR="00114B1B" w:rsidRDefault="003A4444">
            <w:pPr>
              <w:pStyle w:val="Corpsdetexte"/>
              <w:numPr>
                <w:ilvl w:val="0"/>
                <w:numId w:val="1"/>
              </w:numPr>
              <w:tabs>
                <w:tab w:val="clear" w:pos="709"/>
                <w:tab w:val="left" w:pos="0"/>
              </w:tabs>
            </w:pPr>
            <w:r>
              <w:t xml:space="preserve">Se familiariser avec les fondements </w:t>
            </w:r>
            <w:r>
              <w:t>linguistiques, culturels et sociaux liés à la communauté sourde</w:t>
            </w:r>
          </w:p>
          <w:p w14:paraId="1699FB94" w14:textId="77777777" w:rsidR="00114B1B" w:rsidRDefault="003A4444">
            <w:pPr>
              <w:pStyle w:val="Corpsdetexte"/>
              <w:numPr>
                <w:ilvl w:val="0"/>
                <w:numId w:val="1"/>
              </w:numPr>
              <w:tabs>
                <w:tab w:val="clear" w:pos="709"/>
                <w:tab w:val="left" w:pos="0"/>
              </w:tabs>
            </w:pPr>
            <w:r>
              <w:t>Acquérir un vocabulaire de base pour interagir en LSF</w:t>
            </w:r>
          </w:p>
          <w:p w14:paraId="2C55090D" w14:textId="77777777" w:rsidR="00114B1B" w:rsidRDefault="003A4444">
            <w:pPr>
              <w:pStyle w:val="Corpsdetexte"/>
              <w:numPr>
                <w:ilvl w:val="0"/>
                <w:numId w:val="1"/>
              </w:numPr>
              <w:tabs>
                <w:tab w:val="clear" w:pos="709"/>
                <w:tab w:val="left" w:pos="0"/>
              </w:tabs>
            </w:pPr>
            <w:r>
              <w:rPr>
                <w:rStyle w:val="lev"/>
                <w:b w:val="0"/>
                <w:bCs w:val="0"/>
              </w:rPr>
              <w:t>Intégrer l’actualité médicale et les journées mondiales de la santé dans l’apprentissage</w:t>
            </w:r>
          </w:p>
        </w:tc>
      </w:tr>
      <w:tr w:rsidR="00114B1B" w14:paraId="1F09141B" w14:textId="77777777" w:rsidTr="003A4444">
        <w:trPr>
          <w:trHeight w:val="9340"/>
        </w:trPr>
        <w:tc>
          <w:tcPr>
            <w:tcW w:w="1808" w:type="dxa"/>
          </w:tcPr>
          <w:p w14:paraId="6B765E0C" w14:textId="77777777" w:rsidR="00114B1B" w:rsidRDefault="003A4444">
            <w:pPr>
              <w:spacing w:before="60" w:after="60"/>
              <w:rPr>
                <w:b/>
                <w:color w:val="00B0F0"/>
              </w:rPr>
            </w:pPr>
            <w:r>
              <w:rPr>
                <w:rFonts w:eastAsia="Calibri"/>
                <w:b/>
                <w:color w:val="00B0F0"/>
              </w:rPr>
              <w:t>Programme</w:t>
            </w:r>
          </w:p>
        </w:tc>
        <w:tc>
          <w:tcPr>
            <w:tcW w:w="8412" w:type="dxa"/>
          </w:tcPr>
          <w:p w14:paraId="3702E959" w14:textId="77777777" w:rsidR="00114B1B" w:rsidRDefault="003A4444">
            <w:pPr>
              <w:pStyle w:val="Corpsdetexte"/>
            </w:pPr>
            <w:r>
              <w:rPr>
                <w:rStyle w:val="lev"/>
              </w:rPr>
              <w:t xml:space="preserve">1ère partie : cours </w:t>
            </w:r>
            <w:r>
              <w:rPr>
                <w:rStyle w:val="lev"/>
              </w:rPr>
              <w:t>théoriques</w:t>
            </w:r>
          </w:p>
          <w:p w14:paraId="05BEBFE5" w14:textId="77777777" w:rsidR="00114B1B" w:rsidRDefault="003A4444">
            <w:pPr>
              <w:pStyle w:val="Corpsdetexte"/>
              <w:numPr>
                <w:ilvl w:val="0"/>
                <w:numId w:val="5"/>
              </w:numPr>
              <w:tabs>
                <w:tab w:val="clear" w:pos="709"/>
                <w:tab w:val="left" w:pos="0"/>
              </w:tabs>
            </w:pPr>
            <w:r>
              <w:t>Histoire et culture sourde</w:t>
            </w:r>
          </w:p>
          <w:p w14:paraId="01D46F64" w14:textId="77777777" w:rsidR="00114B1B" w:rsidRDefault="003A4444">
            <w:pPr>
              <w:pStyle w:val="Corpsdetexte"/>
              <w:numPr>
                <w:ilvl w:val="0"/>
                <w:numId w:val="5"/>
              </w:numPr>
              <w:tabs>
                <w:tab w:val="clear" w:pos="709"/>
                <w:tab w:val="left" w:pos="0"/>
              </w:tabs>
            </w:pPr>
            <w:r>
              <w:t>Fondements linguistiques : paramètres de signation, grammaire, alphabet</w:t>
            </w:r>
          </w:p>
          <w:p w14:paraId="4DC1EF79" w14:textId="77777777" w:rsidR="00114B1B" w:rsidRDefault="003A4444">
            <w:pPr>
              <w:pStyle w:val="Corpsdetexte"/>
              <w:numPr>
                <w:ilvl w:val="0"/>
                <w:numId w:val="5"/>
              </w:numPr>
              <w:tabs>
                <w:tab w:val="clear" w:pos="709"/>
                <w:tab w:val="left" w:pos="0"/>
              </w:tabs>
            </w:pPr>
            <w:r>
              <w:t>Signes de la vie quotidienne : présentation, émotions, temps, lieux</w:t>
            </w:r>
          </w:p>
          <w:p w14:paraId="240CCBE1" w14:textId="77777777" w:rsidR="00114B1B" w:rsidRDefault="003A4444">
            <w:pPr>
              <w:pStyle w:val="Corpsdetexte"/>
              <w:numPr>
                <w:ilvl w:val="0"/>
                <w:numId w:val="5"/>
              </w:numPr>
              <w:tabs>
                <w:tab w:val="clear" w:pos="709"/>
                <w:tab w:val="left" w:pos="0"/>
              </w:tabs>
            </w:pPr>
            <w:r>
              <w:t xml:space="preserve">Vocabulaire thématique autour de la santé (ex. campagnes de sensibilisation – </w:t>
            </w:r>
            <w:r>
              <w:t>octobre rose, semaine du don d’organes)</w:t>
            </w:r>
          </w:p>
          <w:p w14:paraId="19F635D5" w14:textId="77777777" w:rsidR="00114B1B" w:rsidRDefault="003A4444">
            <w:pPr>
              <w:pStyle w:val="Corpsdetexte"/>
              <w:numPr>
                <w:ilvl w:val="0"/>
                <w:numId w:val="5"/>
              </w:numPr>
              <w:tabs>
                <w:tab w:val="clear" w:pos="709"/>
                <w:tab w:val="left" w:pos="0"/>
              </w:tabs>
            </w:pPr>
            <w:r>
              <w:t>Étymologie des signes et réflexion sur la construction lexicale</w:t>
            </w:r>
          </w:p>
          <w:p w14:paraId="157BDD9C" w14:textId="77777777" w:rsidR="00114B1B" w:rsidRDefault="003A4444">
            <w:pPr>
              <w:pStyle w:val="Corpsdetexte"/>
            </w:pPr>
            <w:r>
              <w:rPr>
                <w:rStyle w:val="lev"/>
              </w:rPr>
              <w:t>2ème partie : pratique et immersion</w:t>
            </w:r>
          </w:p>
          <w:p w14:paraId="4BF16A1C" w14:textId="77777777" w:rsidR="00114B1B" w:rsidRDefault="003A4444">
            <w:pPr>
              <w:pStyle w:val="Corpsdetexte"/>
              <w:numPr>
                <w:ilvl w:val="0"/>
                <w:numId w:val="6"/>
              </w:numPr>
              <w:tabs>
                <w:tab w:val="clear" w:pos="709"/>
                <w:tab w:val="left" w:pos="0"/>
              </w:tabs>
            </w:pPr>
            <w:r>
              <w:t>Jeux de rôle, dialogues en LSF, activités mémorielles</w:t>
            </w:r>
          </w:p>
          <w:p w14:paraId="0780961B" w14:textId="77777777" w:rsidR="00114B1B" w:rsidRDefault="003A4444">
            <w:pPr>
              <w:pStyle w:val="Corpsdetexte"/>
              <w:numPr>
                <w:ilvl w:val="0"/>
                <w:numId w:val="6"/>
              </w:numPr>
              <w:tabs>
                <w:tab w:val="clear" w:pos="709"/>
                <w:tab w:val="left" w:pos="0"/>
              </w:tabs>
            </w:pPr>
            <w:r>
              <w:t>Apprentissage par le geste en lien avec les journées mondiales</w:t>
            </w:r>
            <w:r>
              <w:t xml:space="preserve"> de santé</w:t>
            </w:r>
          </w:p>
          <w:p w14:paraId="6B0B4CCB" w14:textId="77777777" w:rsidR="00114B1B" w:rsidRDefault="003A4444">
            <w:pPr>
              <w:pStyle w:val="Corpsdetexte"/>
              <w:numPr>
                <w:ilvl w:val="0"/>
                <w:numId w:val="6"/>
              </w:numPr>
              <w:tabs>
                <w:tab w:val="clear" w:pos="709"/>
                <w:tab w:val="left" w:pos="0"/>
              </w:tabs>
            </w:pPr>
            <w:r>
              <w:t>Révisions régulières, échanges en binôme ou petit groupe</w:t>
            </w:r>
          </w:p>
          <w:p w14:paraId="2B8DF06C" w14:textId="77777777" w:rsidR="00114B1B" w:rsidRDefault="003A4444">
            <w:pPr>
              <w:pStyle w:val="Corpsdetexte"/>
            </w:pPr>
            <w:proofErr w:type="gramStart"/>
            <w:r>
              <w:rPr>
                <w:rStyle w:val="lev"/>
                <w:rFonts w:eastAsia="Calibri"/>
                <w:sz w:val="28"/>
                <w:szCs w:val="28"/>
              </w:rPr>
              <w:t>🧠</w:t>
            </w:r>
            <w:proofErr w:type="gramEnd"/>
            <w:r>
              <w:rPr>
                <w:rStyle w:val="lev"/>
                <w:rFonts w:eastAsia="Calibri"/>
                <w:sz w:val="28"/>
                <w:szCs w:val="28"/>
              </w:rPr>
              <w:t xml:space="preserve"> Méthodologie</w:t>
            </w:r>
          </w:p>
          <w:p w14:paraId="7F4D2FA1" w14:textId="77777777" w:rsidR="00114B1B" w:rsidRDefault="003A4444">
            <w:pPr>
              <w:pStyle w:val="Corpsdetexte"/>
              <w:numPr>
                <w:ilvl w:val="0"/>
                <w:numId w:val="3"/>
              </w:numPr>
              <w:tabs>
                <w:tab w:val="clear" w:pos="709"/>
                <w:tab w:val="left" w:pos="0"/>
              </w:tabs>
            </w:pPr>
            <w:r>
              <w:t>Alternance d’apports théoriques et de mises en situation pratiques</w:t>
            </w:r>
          </w:p>
          <w:p w14:paraId="4F292FDE" w14:textId="77777777" w:rsidR="00114B1B" w:rsidRDefault="003A4444">
            <w:pPr>
              <w:pStyle w:val="Corpsdetexte"/>
              <w:numPr>
                <w:ilvl w:val="0"/>
                <w:numId w:val="3"/>
              </w:numPr>
              <w:tabs>
                <w:tab w:val="clear" w:pos="709"/>
                <w:tab w:val="left" w:pos="0"/>
              </w:tabs>
            </w:pPr>
            <w:r>
              <w:t>Utilisation de jeux de mémoire, dialogues en LSF, outils pédagogiques dynamiques</w:t>
            </w:r>
          </w:p>
          <w:p w14:paraId="7A1E4591" w14:textId="77777777" w:rsidR="00114B1B" w:rsidRDefault="003A4444">
            <w:pPr>
              <w:pStyle w:val="Corpsdetexte"/>
              <w:numPr>
                <w:ilvl w:val="0"/>
                <w:numId w:val="3"/>
              </w:numPr>
              <w:tabs>
                <w:tab w:val="clear" w:pos="709"/>
                <w:tab w:val="left" w:pos="0"/>
              </w:tabs>
            </w:pPr>
            <w:r>
              <w:t xml:space="preserve">Contextualisation autour </w:t>
            </w:r>
            <w:r>
              <w:t>des actions de sensibilisation menées par l’université</w:t>
            </w:r>
          </w:p>
          <w:p w14:paraId="765FB76B" w14:textId="77777777" w:rsidR="00114B1B" w:rsidRDefault="003A4444">
            <w:pPr>
              <w:pStyle w:val="Titre3"/>
            </w:pPr>
            <w:r>
              <w:t>✅</w:t>
            </w:r>
            <w:r>
              <w:t xml:space="preserve"> Compétences visées</w:t>
            </w:r>
          </w:p>
          <w:p w14:paraId="510C8BDD" w14:textId="77777777" w:rsidR="00114B1B" w:rsidRDefault="003A4444">
            <w:pPr>
              <w:pStyle w:val="Corpsdetexte"/>
              <w:numPr>
                <w:ilvl w:val="0"/>
                <w:numId w:val="4"/>
              </w:numPr>
              <w:tabs>
                <w:tab w:val="clear" w:pos="709"/>
                <w:tab w:val="left" w:pos="0"/>
              </w:tabs>
            </w:pPr>
            <w:r>
              <w:t>Communiquer de manière simple en LSF</w:t>
            </w:r>
          </w:p>
          <w:p w14:paraId="695E9132" w14:textId="77777777" w:rsidR="00114B1B" w:rsidRDefault="003A4444">
            <w:pPr>
              <w:pStyle w:val="Corpsdetexte"/>
              <w:numPr>
                <w:ilvl w:val="0"/>
                <w:numId w:val="4"/>
              </w:numPr>
              <w:tabs>
                <w:tab w:val="clear" w:pos="709"/>
                <w:tab w:val="left" w:pos="0"/>
              </w:tabs>
            </w:pPr>
            <w:r>
              <w:t>Reconnaître et reproduire les signes de base</w:t>
            </w:r>
          </w:p>
          <w:p w14:paraId="6BF52B4A" w14:textId="77777777" w:rsidR="00114B1B" w:rsidRDefault="003A4444">
            <w:pPr>
              <w:pStyle w:val="Corpsdetexte"/>
              <w:numPr>
                <w:ilvl w:val="0"/>
                <w:numId w:val="4"/>
              </w:numPr>
              <w:tabs>
                <w:tab w:val="clear" w:pos="709"/>
                <w:tab w:val="left" w:pos="0"/>
              </w:tabs>
            </w:pPr>
            <w:r>
              <w:t>Comprendre les spécificités culturelles de la communauté sourde</w:t>
            </w:r>
          </w:p>
          <w:p w14:paraId="5D3395DC" w14:textId="29285D7B" w:rsidR="00114B1B" w:rsidRPr="003A4444" w:rsidRDefault="003A4444" w:rsidP="003A4444">
            <w:pPr>
              <w:pStyle w:val="Corpsdetexte"/>
              <w:numPr>
                <w:ilvl w:val="0"/>
                <w:numId w:val="4"/>
              </w:numPr>
              <w:tabs>
                <w:tab w:val="clear" w:pos="709"/>
                <w:tab w:val="left" w:pos="0"/>
              </w:tabs>
              <w:rPr>
                <w:rStyle w:val="lev"/>
                <w:b w:val="0"/>
                <w:bCs w:val="0"/>
              </w:rPr>
            </w:pPr>
            <w:r>
              <w:t xml:space="preserve">Participer à des échanges sur </w:t>
            </w:r>
            <w:r>
              <w:t>des thèmes de société en LSF</w:t>
            </w:r>
          </w:p>
        </w:tc>
      </w:tr>
      <w:tr w:rsidR="00114B1B" w14:paraId="083B14C6" w14:textId="77777777" w:rsidTr="003A4444">
        <w:trPr>
          <w:trHeight w:val="980"/>
        </w:trPr>
        <w:tc>
          <w:tcPr>
            <w:tcW w:w="1808" w:type="dxa"/>
          </w:tcPr>
          <w:p w14:paraId="3A551AF6" w14:textId="77777777" w:rsidR="00114B1B" w:rsidRDefault="003A4444">
            <w:pPr>
              <w:spacing w:before="60" w:after="60"/>
              <w:rPr>
                <w:b/>
                <w:color w:val="00B0F0"/>
              </w:rPr>
            </w:pPr>
            <w:r>
              <w:rPr>
                <w:rFonts w:eastAsia="Calibri"/>
                <w:b/>
                <w:color w:val="00B0F0"/>
              </w:rPr>
              <w:t>Enseignements</w:t>
            </w:r>
          </w:p>
        </w:tc>
        <w:tc>
          <w:tcPr>
            <w:tcW w:w="8412" w:type="dxa"/>
          </w:tcPr>
          <w:p w14:paraId="6DF83052" w14:textId="77777777" w:rsidR="00114B1B" w:rsidRDefault="003A4444">
            <w:pPr>
              <w:pStyle w:val="Corpsdetexte"/>
              <w:spacing w:before="60" w:after="0"/>
              <w:rPr>
                <w:rFonts w:ascii="Calibri" w:eastAsia="Calibri" w:hAnsi="Calibri"/>
              </w:rPr>
            </w:pPr>
            <w:r>
              <w:rPr>
                <w:rStyle w:val="lev"/>
                <w:rFonts w:eastAsia="Calibri"/>
              </w:rPr>
              <w:t xml:space="preserve">Cours hebdomadaires sur l’année universitaire : </w:t>
            </w:r>
            <w:r>
              <w:rPr>
                <w:rStyle w:val="lev"/>
                <w:rFonts w:eastAsia="Calibri"/>
              </w:rPr>
              <w:t>Volume horaire estimé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</w:rPr>
              <w:t>: 81 h (39 h au Semestre 1, 42 h au Semestre 2)</w:t>
            </w:r>
          </w:p>
          <w:p w14:paraId="17C5542E" w14:textId="111B1286" w:rsidR="00114B1B" w:rsidRDefault="003A4444" w:rsidP="003A4444">
            <w:pPr>
              <w:spacing w:before="60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 xml:space="preserve">Interventions de personnes Sourdes ou </w:t>
            </w:r>
            <w:proofErr w:type="spellStart"/>
            <w:r>
              <w:rPr>
                <w:rFonts w:eastAsia="Calibri"/>
                <w:b/>
              </w:rPr>
              <w:t>signants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>: environ 6 h.</w:t>
            </w:r>
          </w:p>
        </w:tc>
      </w:tr>
    </w:tbl>
    <w:p w14:paraId="5D989BE9" w14:textId="77777777" w:rsidR="00114B1B" w:rsidRDefault="00114B1B" w:rsidP="003A4444"/>
    <w:sectPr w:rsidR="00114B1B">
      <w:pgSz w:w="11906" w:h="16838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94D"/>
    <w:multiLevelType w:val="multilevel"/>
    <w:tmpl w:val="9C2A7AE4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06731E84"/>
    <w:multiLevelType w:val="multilevel"/>
    <w:tmpl w:val="E9E45B84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0B6F4BB6"/>
    <w:multiLevelType w:val="multilevel"/>
    <w:tmpl w:val="6F92BA2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22000733"/>
    <w:multiLevelType w:val="multilevel"/>
    <w:tmpl w:val="B1A2201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 w15:restartNumberingAfterBreak="0">
    <w:nsid w:val="69593B10"/>
    <w:multiLevelType w:val="multilevel"/>
    <w:tmpl w:val="0B180A8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 w15:restartNumberingAfterBreak="0">
    <w:nsid w:val="778B6EBF"/>
    <w:multiLevelType w:val="multilevel"/>
    <w:tmpl w:val="B95A3BDE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 w15:restartNumberingAfterBreak="0">
    <w:nsid w:val="7B147FB7"/>
    <w:multiLevelType w:val="multilevel"/>
    <w:tmpl w:val="CF7EB6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1B"/>
    <w:rsid w:val="00114B1B"/>
    <w:rsid w:val="003A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4476"/>
  <w15:docId w15:val="{5152F25F-AF57-4EE0-A7C5-CDE70C92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4D"/>
  </w:style>
  <w:style w:type="paragraph" w:styleId="Titre3">
    <w:name w:val="heading 3"/>
    <w:basedOn w:val="Titre"/>
    <w:next w:val="Corpsdetexte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Pr>
      <w:b/>
      <w:bCs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styleId="Accentuation">
    <w:name w:val="Emphasis"/>
    <w:qFormat/>
    <w:rPr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6E464D"/>
    <w:pPr>
      <w:ind w:left="720"/>
      <w:contextualSpacing/>
    </w:pPr>
  </w:style>
  <w:style w:type="table" w:styleId="Grilledutableau">
    <w:name w:val="Table Grid"/>
    <w:basedOn w:val="TableauNormal"/>
    <w:uiPriority w:val="59"/>
    <w:rsid w:val="006E4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1458</Characters>
  <Application>Microsoft Office Word</Application>
  <DocSecurity>0</DocSecurity>
  <Lines>12</Lines>
  <Paragraphs>3</Paragraphs>
  <ScaleCrop>false</ScaleCrop>
  <Company>CHU-DIJON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DUVILLARD Laurence</dc:creator>
  <dc:description/>
  <cp:lastModifiedBy>Elodie Brisard</cp:lastModifiedBy>
  <cp:revision>2</cp:revision>
  <cp:lastPrinted>2019-05-23T07:40:00Z</cp:lastPrinted>
  <dcterms:created xsi:type="dcterms:W3CDTF">2025-06-26T09:33:00Z</dcterms:created>
  <dcterms:modified xsi:type="dcterms:W3CDTF">2025-06-26T09:33:00Z</dcterms:modified>
  <dc:language>fr-FR</dc:language>
</cp:coreProperties>
</file>